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ptos" w:hAnsi="Aptos"/>
          <w:b/>
          <w:i w:val="0"/>
          <w:color w:val="B88928"/>
          <w:sz w:val="26"/>
        </w:rPr>
        <w:t>THE PURPLE CHEF</w:t>
      </w:r>
    </w:p>
    <w:p>
      <w:pPr>
        <w:spacing w:after="60"/>
        <w:jc w:val="center"/>
      </w:pPr>
      <w:r>
        <w:rPr>
          <w:rFonts w:ascii="Aptos Display" w:hAnsi="Aptos Display"/>
          <w:b/>
          <w:i w:val="0"/>
          <w:color w:val="5B2A86"/>
          <w:sz w:val="54"/>
        </w:rPr>
        <w:t>High Holiday Offerings</w:t>
      </w:r>
    </w:p>
    <w:p>
      <w:pPr>
        <w:spacing w:after="260"/>
        <w:jc w:val="center"/>
      </w:pPr>
      <w:r>
        <w:rPr>
          <w:rFonts w:ascii="Aptos" w:hAnsi="Aptos"/>
          <w:b w:val="0"/>
          <w:i/>
          <w:color w:val="67606B"/>
          <w:sz w:val="23"/>
        </w:rPr>
        <w:t>A warm, abundant table for Rosh Hashanah and gatherings throughout the season</w:t>
      </w:r>
    </w:p>
    <w:tbl>
      <w:tblPr>
        <w:tblW w:type="dxa" w:w="9360"/>
        <w:jc w:val="center"/>
        <w:tblLayout w:type="fixed"/>
        <w:tblLook w:firstColumn="1" w:firstRow="1" w:lastColumn="0" w:lastRow="0" w:noHBand="0" w:noVBand="1" w:val="04A0"/>
        <w:tblInd w:w="120" w:type="dxa"/>
        <w:tblBorders>
          <w:top w:val="single" w:sz="7" w:color="CDB7DC"/>
          <w:left w:val="single" w:sz="7" w:color="CDB7DC"/>
          <w:bottom w:val="single" w:sz="7" w:color="CDB7DC"/>
          <w:right w:val="single" w:sz="7" w:color="CDB7DC"/>
          <w:insideH w:val="single" w:sz="7" w:color="CDB7DC"/>
          <w:insideV w:val="single" w:sz="7" w:color="CDB7DC"/>
        </w:tblBorders>
      </w:tblPr>
      <w:tblGrid>
        <w:gridCol w:w="9360"/>
      </w:tblGrid>
      <w:tr>
        <w:trPr>
          <w:tblHeader w:val="true"/>
          <w:cantSplit/>
        </w:trPr>
        <w:tc>
          <w:tcPr>
            <w:tcW w:type="dxa" w:w="9360"/>
            <w:tcMar>
              <w:top w:w="130" w:type="dxa"/>
              <w:start w:w="180" w:type="dxa"/>
              <w:bottom w:w="130" w:type="dxa"/>
              <w:end w:w="180" w:type="dxa"/>
            </w:tcMar>
            <w:vAlign w:val="center"/>
            <w:shd w:fill="EEE5F5"/>
          </w:tcPr>
          <w:p>
            <w:pPr>
              <w:spacing w:after="60"/>
            </w:pPr>
            <w:r>
              <w:rPr>
                <w:rFonts w:ascii="Aptos" w:hAnsi="Aptos"/>
                <w:b/>
                <w:i w:val="0"/>
                <w:color w:val="351452"/>
                <w:sz w:val="22"/>
              </w:rPr>
              <w:t>Food that brings people together</w:t>
            </w:r>
          </w:p>
          <w:p>
            <w:pPr>
              <w:spacing w:after="0" w:line="259" w:lineRule="auto"/>
            </w:pPr>
            <w:r>
              <w:rPr>
                <w:rFonts w:ascii="Aptos" w:hAnsi="Aptos"/>
                <w:b w:val="0"/>
                <w:i w:val="0"/>
                <w:color w:val="28232C"/>
                <w:sz w:val="18"/>
              </w:rPr>
              <w:t>Celebrate with soulful Jewish holiday traditions and modern California flavors—prepared with care, generosity, and enough abundance for everyone at your table. All prices are starting prices and reflect premium ingredients, professional preparation, packaging, and core production overhead.</w:t>
            </w:r>
          </w:p>
        </w:tc>
      </w:tr>
    </w:tbl>
    <w:p>
      <w:pPr>
        <w:pStyle w:val="Heading1"/>
      </w:pPr>
      <w:r>
        <w:t>Signature Entrées</w:t>
      </w:r>
    </w:p>
    <w:tbl>
      <w:tblPr>
        <w:tblW w:type="dxa" w:w="9360"/>
        <w:jc w:val="center"/>
        <w:tblLayout w:type="fixed"/>
        <w:tblLook w:firstColumn="1" w:firstRow="1" w:lastColumn="0" w:lastRow="0" w:noHBand="0" w:noVBand="1" w:val="04A0"/>
        <w:tblInd w:w="120" w:type="dxa"/>
        <w:tblBorders>
          <w:top w:val="single" w:sz="6" w:color="D8CBE3"/>
          <w:left w:val="single" w:sz="6" w:color="D8CBE3"/>
          <w:bottom w:val="single" w:sz="6" w:color="D8CBE3"/>
          <w:right w:val="single" w:sz="6" w:color="D8CBE3"/>
          <w:insideH w:val="single" w:sz="6" w:color="D8CBE3"/>
          <w:insideV w:val="single" w:sz="6" w:color="D8CBE3"/>
        </w:tblBorders>
      </w:tblPr>
      <w:tblGrid>
        <w:gridCol w:w="5040"/>
        <w:gridCol w:w="1440"/>
        <w:gridCol w:w="1440"/>
        <w:gridCol w:w="1440"/>
      </w:tblGrid>
      <w:tr>
        <w:trPr>
          <w:tblHeader w:val="true"/>
          <w:cantSplit/>
        </w:trPr>
        <w:tc>
          <w:tcPr>
            <w:tcW w:type="dxa" w:w="5040"/>
            <w:tcMar>
              <w:top w:w="90" w:type="dxa"/>
              <w:start w:w="120" w:type="dxa"/>
              <w:bottom w:w="90" w:type="dxa"/>
              <w:end w:w="120" w:type="dxa"/>
            </w:tcMar>
            <w:vAlign w:val="center"/>
            <w:shd w:fill="5B2A86"/>
          </w:tcPr>
          <w:p>
            <w:pPr>
              <w:spacing w:after="0"/>
              <w:jc w:val="left"/>
            </w:pPr>
            <w:r>
              <w:rPr>
                <w:rFonts w:ascii="Aptos" w:hAnsi="Aptos"/>
                <w:b/>
                <w:i w:val="0"/>
                <w:color w:val="FFFFFF"/>
                <w:sz w:val="19"/>
              </w:rPr>
              <w:t>Offering</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15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25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50 guests</w:t>
            </w:r>
          </w:p>
        </w:tc>
      </w:tr>
      <w:tr>
        <w:trPr>
          <w:cantSplit/>
        </w:trPr>
        <w:tc>
          <w:tcPr>
            <w:tcW w:type="dxa" w:w="5040"/>
          </w:tcPr>
          <w:p>
            <w:pPr>
              <w:spacing w:after="40"/>
            </w:pPr>
            <w:r>
              <w:rPr>
                <w:rFonts w:ascii="Aptos" w:hAnsi="Aptos"/>
                <w:b/>
                <w:i w:val="0"/>
                <w:color w:val="351452"/>
                <w:sz w:val="20"/>
              </w:rPr>
              <w:t>Honey &amp; Pomegranate–Glazed Lamb Chops</w:t>
            </w:r>
          </w:p>
          <w:p>
            <w:pPr>
              <w:spacing w:after="0" w:line="252" w:lineRule="auto"/>
            </w:pPr>
            <w:r>
              <w:rPr>
                <w:rFonts w:ascii="Aptos" w:hAnsi="Aptos"/>
                <w:b w:val="0"/>
                <w:i w:val="0"/>
                <w:color w:val="67606B"/>
                <w:sz w:val="17"/>
              </w:rPr>
              <w:t>Two chops per guest with parsnip-celeriac purée, roasted rainbow carrots, and pistachio gremolata.</w:t>
            </w:r>
          </w:p>
        </w:tc>
        <w:tc>
          <w:tcPr>
            <w:tcW w:type="dxa" w:w="1440"/>
          </w:tcPr>
          <w:p>
            <w:pPr>
              <w:spacing w:after="0"/>
              <w:jc w:val="center"/>
            </w:pPr>
            <w:r>
              <w:rPr>
                <w:rFonts w:ascii="Aptos" w:hAnsi="Aptos"/>
                <w:b/>
                <w:i w:val="0"/>
                <w:color w:val="28232C"/>
                <w:sz w:val="20"/>
              </w:rPr>
              <w:t>$900</w:t>
            </w:r>
          </w:p>
        </w:tc>
        <w:tc>
          <w:tcPr>
            <w:tcW w:type="dxa" w:w="1440"/>
          </w:tcPr>
          <w:p>
            <w:pPr>
              <w:spacing w:after="0"/>
              <w:jc w:val="center"/>
            </w:pPr>
            <w:r>
              <w:rPr>
                <w:rFonts w:ascii="Aptos" w:hAnsi="Aptos"/>
                <w:b/>
                <w:i w:val="0"/>
                <w:color w:val="28232C"/>
                <w:sz w:val="20"/>
              </w:rPr>
              <w:t>$1,450</w:t>
            </w:r>
          </w:p>
        </w:tc>
        <w:tc>
          <w:tcPr>
            <w:tcW w:type="dxa" w:w="1440"/>
          </w:tcPr>
          <w:p>
            <w:pPr>
              <w:spacing w:after="0"/>
              <w:jc w:val="center"/>
            </w:pPr>
            <w:r>
              <w:rPr>
                <w:rFonts w:ascii="Aptos" w:hAnsi="Aptos"/>
                <w:b/>
                <w:i w:val="0"/>
                <w:color w:val="28232C"/>
                <w:sz w:val="20"/>
              </w:rPr>
              <w:t>$2,750</w:t>
            </w:r>
          </w:p>
        </w:tc>
      </w:tr>
      <w:tr>
        <w:trPr>
          <w:cantSplit/>
        </w:trPr>
        <w:tc>
          <w:tcPr>
            <w:tcW w:type="dxa" w:w="5040"/>
            <w:shd w:fill="F8F4FB"/>
          </w:tcPr>
          <w:p>
            <w:pPr>
              <w:spacing w:after="40"/>
            </w:pPr>
            <w:r>
              <w:rPr>
                <w:rFonts w:ascii="Aptos" w:hAnsi="Aptos"/>
                <w:b/>
                <w:i w:val="0"/>
                <w:color w:val="351452"/>
                <w:sz w:val="20"/>
              </w:rPr>
              <w:t>Guinness-Braised Beef Short Ribs</w:t>
            </w:r>
          </w:p>
          <w:p>
            <w:pPr>
              <w:spacing w:after="0" w:line="252" w:lineRule="auto"/>
            </w:pPr>
            <w:r>
              <w:rPr>
                <w:rFonts w:ascii="Aptos" w:hAnsi="Aptos"/>
                <w:b w:val="0"/>
                <w:i w:val="0"/>
                <w:color w:val="67606B"/>
                <w:sz w:val="17"/>
              </w:rPr>
              <w:t>Slow-braised until tender in a deeply savory Guinness reduction; finished with aromatic herbs and pan jus.</w:t>
            </w:r>
          </w:p>
        </w:tc>
        <w:tc>
          <w:tcPr>
            <w:tcW w:type="dxa" w:w="1440"/>
            <w:shd w:fill="F8F4FB"/>
          </w:tcPr>
          <w:p>
            <w:pPr>
              <w:spacing w:after="0"/>
              <w:jc w:val="center"/>
            </w:pPr>
            <w:r>
              <w:rPr>
                <w:rFonts w:ascii="Aptos" w:hAnsi="Aptos"/>
                <w:b/>
                <w:i w:val="0"/>
                <w:color w:val="28232C"/>
                <w:sz w:val="20"/>
              </w:rPr>
              <w:t>$750</w:t>
            </w:r>
          </w:p>
        </w:tc>
        <w:tc>
          <w:tcPr>
            <w:tcW w:type="dxa" w:w="1440"/>
            <w:shd w:fill="F8F4FB"/>
          </w:tcPr>
          <w:p>
            <w:pPr>
              <w:spacing w:after="0"/>
              <w:jc w:val="center"/>
            </w:pPr>
            <w:r>
              <w:rPr>
                <w:rFonts w:ascii="Aptos" w:hAnsi="Aptos"/>
                <w:b/>
                <w:i w:val="0"/>
                <w:color w:val="28232C"/>
                <w:sz w:val="20"/>
              </w:rPr>
              <w:t>$1,175</w:t>
            </w:r>
          </w:p>
        </w:tc>
        <w:tc>
          <w:tcPr>
            <w:tcW w:type="dxa" w:w="1440"/>
            <w:shd w:fill="F8F4FB"/>
          </w:tcPr>
          <w:p>
            <w:pPr>
              <w:spacing w:after="0"/>
              <w:jc w:val="center"/>
            </w:pPr>
            <w:r>
              <w:rPr>
                <w:rFonts w:ascii="Aptos" w:hAnsi="Aptos"/>
                <w:b/>
                <w:i w:val="0"/>
                <w:color w:val="28232C"/>
                <w:sz w:val="20"/>
              </w:rPr>
              <w:t>$2,200</w:t>
            </w:r>
          </w:p>
        </w:tc>
      </w:tr>
      <w:tr>
        <w:trPr>
          <w:cantSplit/>
        </w:trPr>
        <w:tc>
          <w:tcPr>
            <w:tcW w:type="dxa" w:w="5040"/>
          </w:tcPr>
          <w:p>
            <w:pPr>
              <w:spacing w:after="40"/>
            </w:pPr>
            <w:r>
              <w:rPr>
                <w:rFonts w:ascii="Aptos" w:hAnsi="Aptos"/>
                <w:b/>
                <w:i w:val="0"/>
                <w:color w:val="351452"/>
                <w:sz w:val="20"/>
              </w:rPr>
              <w:t>Pomegranate Hot Honey Chicken Wings</w:t>
            </w:r>
          </w:p>
          <w:p>
            <w:pPr>
              <w:spacing w:after="0" w:line="252" w:lineRule="auto"/>
            </w:pPr>
            <w:r>
              <w:rPr>
                <w:rFonts w:ascii="Aptos" w:hAnsi="Aptos"/>
                <w:b w:val="0"/>
                <w:i w:val="0"/>
                <w:color w:val="67606B"/>
                <w:sz w:val="17"/>
              </w:rPr>
              <w:t>Crisp, generously portioned wings glazed with hot honey, pomegranate, garlic, and warm spices—sweet heat for a sweet new year.</w:t>
            </w:r>
          </w:p>
        </w:tc>
        <w:tc>
          <w:tcPr>
            <w:tcW w:type="dxa" w:w="1440"/>
          </w:tcPr>
          <w:p>
            <w:pPr>
              <w:spacing w:after="0"/>
              <w:jc w:val="center"/>
            </w:pPr>
            <w:r>
              <w:rPr>
                <w:rFonts w:ascii="Aptos" w:hAnsi="Aptos"/>
                <w:b/>
                <w:i w:val="0"/>
                <w:color w:val="28232C"/>
                <w:sz w:val="20"/>
              </w:rPr>
              <w:t>$575</w:t>
            </w:r>
          </w:p>
        </w:tc>
        <w:tc>
          <w:tcPr>
            <w:tcW w:type="dxa" w:w="1440"/>
          </w:tcPr>
          <w:p>
            <w:pPr>
              <w:spacing w:after="0"/>
              <w:jc w:val="center"/>
            </w:pPr>
            <w:r>
              <w:rPr>
                <w:rFonts w:ascii="Aptos" w:hAnsi="Aptos"/>
                <w:b/>
                <w:i w:val="0"/>
                <w:color w:val="28232C"/>
                <w:sz w:val="20"/>
              </w:rPr>
              <w:t>$900</w:t>
            </w:r>
          </w:p>
        </w:tc>
        <w:tc>
          <w:tcPr>
            <w:tcW w:type="dxa" w:w="1440"/>
          </w:tcPr>
          <w:p>
            <w:pPr>
              <w:spacing w:after="0"/>
              <w:jc w:val="center"/>
            </w:pPr>
            <w:r>
              <w:rPr>
                <w:rFonts w:ascii="Aptos" w:hAnsi="Aptos"/>
                <w:b/>
                <w:i w:val="0"/>
                <w:color w:val="28232C"/>
                <w:sz w:val="20"/>
              </w:rPr>
              <w:t>$1,700</w:t>
            </w:r>
          </w:p>
        </w:tc>
      </w:tr>
      <w:tr>
        <w:trPr>
          <w:cantSplit/>
        </w:trPr>
        <w:tc>
          <w:tcPr>
            <w:tcW w:type="dxa" w:w="5040"/>
            <w:shd w:fill="F8F4FB"/>
          </w:tcPr>
          <w:p>
            <w:pPr>
              <w:spacing w:after="40"/>
            </w:pPr>
            <w:r>
              <w:rPr>
                <w:rFonts w:ascii="Aptos" w:hAnsi="Aptos"/>
                <w:b/>
                <w:i w:val="0"/>
                <w:color w:val="351452"/>
                <w:sz w:val="20"/>
              </w:rPr>
              <w:t>Honey-Pear Bulgogi Beef</w:t>
            </w:r>
          </w:p>
          <w:p>
            <w:pPr>
              <w:spacing w:after="0" w:line="252" w:lineRule="auto"/>
            </w:pPr>
            <w:r>
              <w:rPr>
                <w:rFonts w:ascii="Aptos" w:hAnsi="Aptos"/>
                <w:b w:val="0"/>
                <w:i w:val="0"/>
                <w:color w:val="67606B"/>
                <w:sz w:val="17"/>
              </w:rPr>
              <w:t>Tender marinated beef with rice noodles and autumn vegetables; Korean pear, apple, and honey connect this global favorite to the Rosh Hashanah table.</w:t>
            </w:r>
          </w:p>
        </w:tc>
        <w:tc>
          <w:tcPr>
            <w:tcW w:type="dxa" w:w="1440"/>
            <w:shd w:fill="F8F4FB"/>
          </w:tcPr>
          <w:p>
            <w:pPr>
              <w:spacing w:after="0"/>
              <w:jc w:val="center"/>
            </w:pPr>
            <w:r>
              <w:rPr>
                <w:rFonts w:ascii="Aptos" w:hAnsi="Aptos"/>
                <w:b/>
                <w:i w:val="0"/>
                <w:color w:val="28232C"/>
                <w:sz w:val="20"/>
              </w:rPr>
              <w:t>$825</w:t>
            </w:r>
          </w:p>
        </w:tc>
        <w:tc>
          <w:tcPr>
            <w:tcW w:type="dxa" w:w="1440"/>
            <w:shd w:fill="F8F4FB"/>
          </w:tcPr>
          <w:p>
            <w:pPr>
              <w:spacing w:after="0"/>
              <w:jc w:val="center"/>
            </w:pPr>
            <w:r>
              <w:rPr>
                <w:rFonts w:ascii="Aptos" w:hAnsi="Aptos"/>
                <w:b/>
                <w:i w:val="0"/>
                <w:color w:val="28232C"/>
                <w:sz w:val="20"/>
              </w:rPr>
              <w:t>$1,300</w:t>
            </w:r>
          </w:p>
        </w:tc>
        <w:tc>
          <w:tcPr>
            <w:tcW w:type="dxa" w:w="1440"/>
            <w:shd w:fill="F8F4FB"/>
          </w:tcPr>
          <w:p>
            <w:pPr>
              <w:spacing w:after="0"/>
              <w:jc w:val="center"/>
            </w:pPr>
            <w:r>
              <w:rPr>
                <w:rFonts w:ascii="Aptos" w:hAnsi="Aptos"/>
                <w:b/>
                <w:i w:val="0"/>
                <w:color w:val="28232C"/>
                <w:sz w:val="20"/>
              </w:rPr>
              <w:t>$2,450</w:t>
            </w:r>
          </w:p>
        </w:tc>
      </w:tr>
      <w:tr>
        <w:trPr>
          <w:cantSplit/>
        </w:trPr>
        <w:tc>
          <w:tcPr>
            <w:tcW w:type="dxa" w:w="5040"/>
          </w:tcPr>
          <w:p>
            <w:pPr>
              <w:spacing w:after="40"/>
            </w:pPr>
            <w:r>
              <w:rPr>
                <w:rFonts w:ascii="Aptos" w:hAnsi="Aptos"/>
                <w:b/>
                <w:i w:val="0"/>
                <w:color w:val="351452"/>
                <w:sz w:val="20"/>
              </w:rPr>
              <w:t>Spicy Moroccan Eggplant</w:t>
            </w:r>
          </w:p>
          <w:p>
            <w:pPr>
              <w:spacing w:after="0" w:line="252" w:lineRule="auto"/>
            </w:pPr>
            <w:r>
              <w:rPr>
                <w:rFonts w:ascii="Aptos" w:hAnsi="Aptos"/>
                <w:b w:val="0"/>
                <w:i w:val="0"/>
                <w:color w:val="67606B"/>
                <w:sz w:val="17"/>
              </w:rPr>
              <w:t>A substantial vegan entrée with tender eggplant, tomatoes, peppers, garlic, herbs, and warming Moroccan spices.</w:t>
            </w:r>
          </w:p>
        </w:tc>
        <w:tc>
          <w:tcPr>
            <w:tcW w:type="dxa" w:w="1440"/>
          </w:tcPr>
          <w:p>
            <w:pPr>
              <w:spacing w:after="0"/>
              <w:jc w:val="center"/>
            </w:pPr>
            <w:r>
              <w:rPr>
                <w:rFonts w:ascii="Aptos" w:hAnsi="Aptos"/>
                <w:b/>
                <w:i w:val="0"/>
                <w:color w:val="28232C"/>
                <w:sz w:val="20"/>
              </w:rPr>
              <w:t>$450</w:t>
            </w:r>
          </w:p>
        </w:tc>
        <w:tc>
          <w:tcPr>
            <w:tcW w:type="dxa" w:w="1440"/>
          </w:tcPr>
          <w:p>
            <w:pPr>
              <w:spacing w:after="0"/>
              <w:jc w:val="center"/>
            </w:pPr>
            <w:r>
              <w:rPr>
                <w:rFonts w:ascii="Aptos" w:hAnsi="Aptos"/>
                <w:b/>
                <w:i w:val="0"/>
                <w:color w:val="28232C"/>
                <w:sz w:val="20"/>
              </w:rPr>
              <w:t>$700</w:t>
            </w:r>
          </w:p>
        </w:tc>
        <w:tc>
          <w:tcPr>
            <w:tcW w:type="dxa" w:w="1440"/>
          </w:tcPr>
          <w:p>
            <w:pPr>
              <w:spacing w:after="0"/>
              <w:jc w:val="center"/>
            </w:pPr>
            <w:r>
              <w:rPr>
                <w:rFonts w:ascii="Aptos" w:hAnsi="Aptos"/>
                <w:b/>
                <w:i w:val="0"/>
                <w:color w:val="28232C"/>
                <w:sz w:val="20"/>
              </w:rPr>
              <w:t>$1,300</w:t>
            </w:r>
          </w:p>
        </w:tc>
      </w:tr>
    </w:tbl>
    <w:p>
      <w:pPr>
        <w:spacing w:after="20"/>
      </w:pPr>
    </w:p>
    <w:p>
      <w:r>
        <w:br w:type="page"/>
      </w:r>
    </w:p>
    <w:p>
      <w:pPr>
        <w:pStyle w:val="Heading1"/>
      </w:pPr>
      <w:r>
        <w:t>Sides &amp; Centerpiece Presentations</w:t>
      </w:r>
    </w:p>
    <w:tbl>
      <w:tblPr>
        <w:tblW w:type="dxa" w:w="9360"/>
        <w:jc w:val="center"/>
        <w:tblLayout w:type="fixed"/>
        <w:tblLook w:firstColumn="1" w:firstRow="1" w:lastColumn="0" w:lastRow="0" w:noHBand="0" w:noVBand="1" w:val="04A0"/>
        <w:tblInd w:w="120" w:type="dxa"/>
        <w:tblBorders>
          <w:top w:val="single" w:sz="6" w:color="D8CBE3"/>
          <w:left w:val="single" w:sz="6" w:color="D8CBE3"/>
          <w:bottom w:val="single" w:sz="6" w:color="D8CBE3"/>
          <w:right w:val="single" w:sz="6" w:color="D8CBE3"/>
          <w:insideH w:val="single" w:sz="6" w:color="D8CBE3"/>
          <w:insideV w:val="single" w:sz="6" w:color="D8CBE3"/>
        </w:tblBorders>
      </w:tblPr>
      <w:tblGrid>
        <w:gridCol w:w="5040"/>
        <w:gridCol w:w="1440"/>
        <w:gridCol w:w="1440"/>
        <w:gridCol w:w="1440"/>
      </w:tblGrid>
      <w:tr>
        <w:trPr>
          <w:tblHeader w:val="true"/>
          <w:cantSplit/>
        </w:trPr>
        <w:tc>
          <w:tcPr>
            <w:tcW w:type="dxa" w:w="5040"/>
            <w:tcMar>
              <w:top w:w="90" w:type="dxa"/>
              <w:start w:w="120" w:type="dxa"/>
              <w:bottom w:w="90" w:type="dxa"/>
              <w:end w:w="120" w:type="dxa"/>
            </w:tcMar>
            <w:vAlign w:val="center"/>
            <w:shd w:fill="5B2A86"/>
          </w:tcPr>
          <w:p>
            <w:pPr>
              <w:spacing w:after="0"/>
              <w:jc w:val="left"/>
            </w:pPr>
            <w:r>
              <w:rPr>
                <w:rFonts w:ascii="Aptos" w:hAnsi="Aptos"/>
                <w:b/>
                <w:i w:val="0"/>
                <w:color w:val="FFFFFF"/>
                <w:sz w:val="19"/>
              </w:rPr>
              <w:t>Offering</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15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25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50 guests</w:t>
            </w:r>
          </w:p>
        </w:tc>
      </w:tr>
      <w:tr>
        <w:trPr>
          <w:cantSplit/>
        </w:trPr>
        <w:tc>
          <w:tcPr>
            <w:tcW w:type="dxa" w:w="5040"/>
          </w:tcPr>
          <w:p>
            <w:pPr>
              <w:spacing w:after="40"/>
            </w:pPr>
            <w:r>
              <w:rPr>
                <w:rFonts w:ascii="Aptos" w:hAnsi="Aptos"/>
                <w:b/>
                <w:i w:val="0"/>
                <w:color w:val="351452"/>
                <w:sz w:val="20"/>
              </w:rPr>
              <w:t>Creamy Herb-Parmesan Polenta</w:t>
            </w:r>
          </w:p>
          <w:p>
            <w:pPr>
              <w:spacing w:after="0" w:line="252" w:lineRule="auto"/>
            </w:pPr>
            <w:r>
              <w:rPr>
                <w:rFonts w:ascii="Aptos" w:hAnsi="Aptos"/>
                <w:b w:val="0"/>
                <w:i w:val="0"/>
                <w:color w:val="67606B"/>
                <w:sz w:val="17"/>
              </w:rPr>
              <w:t>Silky polenta enriched with Parmesan, butter, and fresh herbs.</w:t>
            </w:r>
          </w:p>
        </w:tc>
        <w:tc>
          <w:tcPr>
            <w:tcW w:type="dxa" w:w="1440"/>
          </w:tcPr>
          <w:p>
            <w:pPr>
              <w:spacing w:after="0"/>
              <w:jc w:val="center"/>
            </w:pPr>
            <w:r>
              <w:rPr>
                <w:rFonts w:ascii="Aptos" w:hAnsi="Aptos"/>
                <w:b/>
                <w:i w:val="0"/>
                <w:color w:val="28232C"/>
                <w:sz w:val="20"/>
              </w:rPr>
              <w:t>$240</w:t>
            </w:r>
          </w:p>
        </w:tc>
        <w:tc>
          <w:tcPr>
            <w:tcW w:type="dxa" w:w="1440"/>
          </w:tcPr>
          <w:p>
            <w:pPr>
              <w:spacing w:after="0"/>
              <w:jc w:val="center"/>
            </w:pPr>
            <w:r>
              <w:rPr>
                <w:rFonts w:ascii="Aptos" w:hAnsi="Aptos"/>
                <w:b/>
                <w:i w:val="0"/>
                <w:color w:val="28232C"/>
                <w:sz w:val="20"/>
              </w:rPr>
              <w:t>$375</w:t>
            </w:r>
          </w:p>
        </w:tc>
        <w:tc>
          <w:tcPr>
            <w:tcW w:type="dxa" w:w="1440"/>
          </w:tcPr>
          <w:p>
            <w:pPr>
              <w:spacing w:after="0"/>
              <w:jc w:val="center"/>
            </w:pPr>
            <w:r>
              <w:rPr>
                <w:rFonts w:ascii="Aptos" w:hAnsi="Aptos"/>
                <w:b/>
                <w:i w:val="0"/>
                <w:color w:val="28232C"/>
                <w:sz w:val="20"/>
              </w:rPr>
              <w:t>$700</w:t>
            </w:r>
          </w:p>
        </w:tc>
      </w:tr>
      <w:tr>
        <w:trPr>
          <w:cantSplit/>
        </w:trPr>
        <w:tc>
          <w:tcPr>
            <w:tcW w:type="dxa" w:w="5040"/>
            <w:shd w:fill="F8F4FB"/>
          </w:tcPr>
          <w:p>
            <w:pPr>
              <w:spacing w:after="40"/>
            </w:pPr>
            <w:r>
              <w:rPr>
                <w:rFonts w:ascii="Aptos" w:hAnsi="Aptos"/>
                <w:b/>
                <w:i w:val="0"/>
                <w:color w:val="351452"/>
                <w:sz w:val="20"/>
              </w:rPr>
              <w:t>Seasonal Roasted Vegetable Array</w:t>
            </w:r>
          </w:p>
          <w:p>
            <w:pPr>
              <w:spacing w:after="0" w:line="252" w:lineRule="auto"/>
            </w:pPr>
            <w:r>
              <w:rPr>
                <w:rFonts w:ascii="Aptos" w:hAnsi="Aptos"/>
                <w:b w:val="0"/>
                <w:i w:val="0"/>
                <w:color w:val="67606B"/>
                <w:sz w:val="17"/>
              </w:rPr>
              <w:t>A colorful market selection roasted with olive oil, garlic, and herbs; seasonal composition varies.</w:t>
            </w:r>
          </w:p>
        </w:tc>
        <w:tc>
          <w:tcPr>
            <w:tcW w:type="dxa" w:w="1440"/>
            <w:shd w:fill="F8F4FB"/>
          </w:tcPr>
          <w:p>
            <w:pPr>
              <w:spacing w:after="0"/>
              <w:jc w:val="center"/>
            </w:pPr>
            <w:r>
              <w:rPr>
                <w:rFonts w:ascii="Aptos" w:hAnsi="Aptos"/>
                <w:b/>
                <w:i w:val="0"/>
                <w:color w:val="28232C"/>
                <w:sz w:val="20"/>
              </w:rPr>
              <w:t>$255</w:t>
            </w:r>
          </w:p>
        </w:tc>
        <w:tc>
          <w:tcPr>
            <w:tcW w:type="dxa" w:w="1440"/>
            <w:shd w:fill="F8F4FB"/>
          </w:tcPr>
          <w:p>
            <w:pPr>
              <w:spacing w:after="0"/>
              <w:jc w:val="center"/>
            </w:pPr>
            <w:r>
              <w:rPr>
                <w:rFonts w:ascii="Aptos" w:hAnsi="Aptos"/>
                <w:b/>
                <w:i w:val="0"/>
                <w:color w:val="28232C"/>
                <w:sz w:val="20"/>
              </w:rPr>
              <w:t>$400</w:t>
            </w:r>
          </w:p>
        </w:tc>
        <w:tc>
          <w:tcPr>
            <w:tcW w:type="dxa" w:w="1440"/>
            <w:shd w:fill="F8F4FB"/>
          </w:tcPr>
          <w:p>
            <w:pPr>
              <w:spacing w:after="0"/>
              <w:jc w:val="center"/>
            </w:pPr>
            <w:r>
              <w:rPr>
                <w:rFonts w:ascii="Aptos" w:hAnsi="Aptos"/>
                <w:b/>
                <w:i w:val="0"/>
                <w:color w:val="28232C"/>
                <w:sz w:val="20"/>
              </w:rPr>
              <w:t>$750</w:t>
            </w:r>
          </w:p>
        </w:tc>
      </w:tr>
      <w:tr>
        <w:trPr>
          <w:cantSplit/>
        </w:trPr>
        <w:tc>
          <w:tcPr>
            <w:tcW w:type="dxa" w:w="5040"/>
          </w:tcPr>
          <w:p>
            <w:pPr>
              <w:spacing w:after="40"/>
            </w:pPr>
            <w:r>
              <w:rPr>
                <w:rFonts w:ascii="Aptos" w:hAnsi="Aptos"/>
                <w:b/>
                <w:i w:val="0"/>
                <w:color w:val="351452"/>
                <w:sz w:val="20"/>
              </w:rPr>
              <w:t>Moroccan Potato &amp; Vegetable Casserole</w:t>
            </w:r>
          </w:p>
          <w:p>
            <w:pPr>
              <w:spacing w:after="0" w:line="252" w:lineRule="auto"/>
            </w:pPr>
            <w:r>
              <w:rPr>
                <w:rFonts w:ascii="Aptos" w:hAnsi="Aptos"/>
                <w:b w:val="0"/>
                <w:i w:val="0"/>
                <w:color w:val="67606B"/>
                <w:sz w:val="17"/>
              </w:rPr>
              <w:t>A hearty dairy-free casserole layered with potatoes, seasonal vegetables, tomatoes, garlic, herbs, and warming spices.</w:t>
            </w:r>
          </w:p>
        </w:tc>
        <w:tc>
          <w:tcPr>
            <w:tcW w:type="dxa" w:w="1440"/>
          </w:tcPr>
          <w:p>
            <w:pPr>
              <w:spacing w:after="0"/>
              <w:jc w:val="center"/>
            </w:pPr>
            <w:r>
              <w:rPr>
                <w:rFonts w:ascii="Aptos" w:hAnsi="Aptos"/>
                <w:b/>
                <w:i w:val="0"/>
                <w:color w:val="28232C"/>
                <w:sz w:val="20"/>
              </w:rPr>
              <w:t>$325</w:t>
            </w:r>
          </w:p>
        </w:tc>
        <w:tc>
          <w:tcPr>
            <w:tcW w:type="dxa" w:w="1440"/>
          </w:tcPr>
          <w:p>
            <w:pPr>
              <w:spacing w:after="0"/>
              <w:jc w:val="center"/>
            </w:pPr>
            <w:r>
              <w:rPr>
                <w:rFonts w:ascii="Aptos" w:hAnsi="Aptos"/>
                <w:b/>
                <w:i w:val="0"/>
                <w:color w:val="28232C"/>
                <w:sz w:val="20"/>
              </w:rPr>
              <w:t>$500</w:t>
            </w:r>
          </w:p>
        </w:tc>
        <w:tc>
          <w:tcPr>
            <w:tcW w:type="dxa" w:w="1440"/>
          </w:tcPr>
          <w:p>
            <w:pPr>
              <w:spacing w:after="0"/>
              <w:jc w:val="center"/>
            </w:pPr>
            <w:r>
              <w:rPr>
                <w:rFonts w:ascii="Aptos" w:hAnsi="Aptos"/>
                <w:b/>
                <w:i w:val="0"/>
                <w:color w:val="28232C"/>
                <w:sz w:val="20"/>
              </w:rPr>
              <w:t>$925</w:t>
            </w:r>
          </w:p>
        </w:tc>
      </w:tr>
      <w:tr>
        <w:trPr>
          <w:cantSplit/>
        </w:trPr>
        <w:tc>
          <w:tcPr>
            <w:tcW w:type="dxa" w:w="5040"/>
            <w:shd w:fill="F8F4FB"/>
          </w:tcPr>
          <w:p>
            <w:pPr>
              <w:spacing w:after="40"/>
            </w:pPr>
            <w:r>
              <w:rPr>
                <w:rFonts w:ascii="Aptos" w:hAnsi="Aptos"/>
                <w:b/>
                <w:i w:val="0"/>
                <w:color w:val="351452"/>
                <w:sz w:val="20"/>
              </w:rPr>
              <w:t>Flaming Halloumi Celebration Platter</w:t>
            </w:r>
          </w:p>
          <w:p>
            <w:pPr>
              <w:spacing w:after="0" w:line="252" w:lineRule="auto"/>
            </w:pPr>
            <w:r>
              <w:rPr>
                <w:rFonts w:ascii="Aptos" w:hAnsi="Aptos"/>
                <w:b w:val="0"/>
                <w:i w:val="0"/>
                <w:color w:val="67606B"/>
                <w:sz w:val="17"/>
              </w:rPr>
              <w:t>Golden halloumi arranged over fresh blueberries and figs with balsamic drizzle; includes a measured flambé spirit presentation.</w:t>
            </w:r>
          </w:p>
        </w:tc>
        <w:tc>
          <w:tcPr>
            <w:tcW w:type="dxa" w:w="1440"/>
            <w:shd w:fill="F8F4FB"/>
          </w:tcPr>
          <w:p>
            <w:pPr>
              <w:spacing w:after="0"/>
              <w:jc w:val="center"/>
            </w:pPr>
            <w:r>
              <w:rPr>
                <w:rFonts w:ascii="Aptos" w:hAnsi="Aptos"/>
                <w:b/>
                <w:i w:val="0"/>
                <w:color w:val="28232C"/>
                <w:sz w:val="20"/>
              </w:rPr>
              <w:t>$425</w:t>
            </w:r>
          </w:p>
        </w:tc>
        <w:tc>
          <w:tcPr>
            <w:tcW w:type="dxa" w:w="1440"/>
            <w:shd w:fill="F8F4FB"/>
          </w:tcPr>
          <w:p>
            <w:pPr>
              <w:spacing w:after="0"/>
              <w:jc w:val="center"/>
            </w:pPr>
            <w:r>
              <w:rPr>
                <w:rFonts w:ascii="Aptos" w:hAnsi="Aptos"/>
                <w:b/>
                <w:i w:val="0"/>
                <w:color w:val="28232C"/>
                <w:sz w:val="20"/>
              </w:rPr>
              <w:t>$650</w:t>
            </w:r>
          </w:p>
        </w:tc>
        <w:tc>
          <w:tcPr>
            <w:tcW w:type="dxa" w:w="1440"/>
            <w:shd w:fill="F8F4FB"/>
          </w:tcPr>
          <w:p>
            <w:pPr>
              <w:spacing w:after="0"/>
              <w:jc w:val="center"/>
            </w:pPr>
            <w:r>
              <w:rPr>
                <w:rFonts w:ascii="Aptos" w:hAnsi="Aptos"/>
                <w:b/>
                <w:i w:val="0"/>
                <w:color w:val="28232C"/>
                <w:sz w:val="20"/>
              </w:rPr>
              <w:t>$1,200</w:t>
            </w:r>
          </w:p>
        </w:tc>
      </w:tr>
    </w:tbl>
    <w:p>
      <w:pPr>
        <w:spacing w:after="20"/>
      </w:pPr>
    </w:p>
    <w:p>
      <w:pPr>
        <w:pStyle w:val="MenuNote"/>
      </w:pPr>
      <w:r>
        <w:rPr>
          <w:rFonts w:ascii="Aptos" w:hAnsi="Aptos"/>
          <w:b/>
          <w:i w:val="0"/>
          <w:color w:val="351452"/>
          <w:sz w:val="18"/>
        </w:rPr>
        <w:t xml:space="preserve">Live-flame note: </w:t>
      </w:r>
      <w:r>
        <w:rPr>
          <w:rFonts w:ascii="Aptos" w:hAnsi="Aptos"/>
          <w:b w:val="0"/>
          <w:i/>
          <w:color w:val="67606B"/>
          <w:sz w:val="18"/>
        </w:rPr>
        <w:t>Flambé service is subject to venue approval and safe conditions. The spirit is for responsible adult handling only; chef-performed flambé service may require on-site staffing and an event-specific quote.</w:t>
      </w:r>
    </w:p>
    <w:p>
      <w:pPr>
        <w:pStyle w:val="Heading1"/>
      </w:pPr>
      <w:r>
        <w:t>Honeyed &amp; Spirit-Poached Fruits</w:t>
      </w:r>
    </w:p>
    <w:p>
      <w:pPr>
        <w:spacing w:after="140"/>
      </w:pPr>
      <w:r>
        <w:t>Choose peaches, apples, pears, apricots, or a seasonal combination, gently poached with honey, warm spices, citrus, and rum. Served as a composed dessert or elegant accompaniment.</w:t>
      </w:r>
    </w:p>
    <w:tbl>
      <w:tblPr>
        <w:tblW w:type="dxa" w:w="9360"/>
        <w:jc w:val="center"/>
        <w:tblLayout w:type="fixed"/>
        <w:tblLook w:firstColumn="1" w:firstRow="1" w:lastColumn="0" w:lastRow="0" w:noHBand="0" w:noVBand="1" w:val="04A0"/>
        <w:tblInd w:w="120" w:type="dxa"/>
        <w:tblBorders>
          <w:top w:val="single" w:sz="6" w:color="D8CBE3"/>
          <w:left w:val="single" w:sz="6" w:color="D8CBE3"/>
          <w:bottom w:val="single" w:sz="6" w:color="D8CBE3"/>
          <w:right w:val="single" w:sz="6" w:color="D8CBE3"/>
          <w:insideH w:val="single" w:sz="6" w:color="D8CBE3"/>
          <w:insideV w:val="single" w:sz="6" w:color="D8CBE3"/>
        </w:tblBorders>
      </w:tblPr>
      <w:tblGrid>
        <w:gridCol w:w="5040"/>
        <w:gridCol w:w="1440"/>
        <w:gridCol w:w="1440"/>
        <w:gridCol w:w="1440"/>
      </w:tblGrid>
      <w:tr>
        <w:trPr>
          <w:tblHeader w:val="true"/>
          <w:cantSplit/>
        </w:trPr>
        <w:tc>
          <w:tcPr>
            <w:tcW w:type="dxa" w:w="5040"/>
            <w:tcMar>
              <w:top w:w="90" w:type="dxa"/>
              <w:start w:w="120" w:type="dxa"/>
              <w:bottom w:w="90" w:type="dxa"/>
              <w:end w:w="120" w:type="dxa"/>
            </w:tcMar>
            <w:vAlign w:val="center"/>
            <w:shd w:fill="5B2A86"/>
          </w:tcPr>
          <w:p>
            <w:pPr>
              <w:spacing w:after="0"/>
              <w:jc w:val="left"/>
            </w:pPr>
            <w:r>
              <w:rPr>
                <w:rFonts w:ascii="Aptos" w:hAnsi="Aptos"/>
                <w:b/>
                <w:i w:val="0"/>
                <w:color w:val="FFFFFF"/>
                <w:sz w:val="19"/>
              </w:rPr>
              <w:t>Offering</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15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25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50 guests</w:t>
            </w:r>
          </w:p>
        </w:tc>
      </w:tr>
      <w:tr>
        <w:trPr>
          <w:cantSplit/>
        </w:trPr>
        <w:tc>
          <w:tcPr>
            <w:tcW w:type="dxa" w:w="5040"/>
          </w:tcPr>
          <w:p>
            <w:pPr>
              <w:spacing w:after="40"/>
            </w:pPr>
            <w:r>
              <w:rPr>
                <w:rFonts w:ascii="Aptos" w:hAnsi="Aptos"/>
                <w:b/>
                <w:i w:val="0"/>
                <w:color w:val="351452"/>
                <w:sz w:val="20"/>
              </w:rPr>
              <w:t>Honey &amp; Rum–Poached Fruit</w:t>
            </w:r>
          </w:p>
          <w:p>
            <w:pPr>
              <w:spacing w:after="0" w:line="252" w:lineRule="auto"/>
            </w:pPr>
            <w:r>
              <w:rPr>
                <w:rFonts w:ascii="Aptos" w:hAnsi="Aptos"/>
                <w:b w:val="0"/>
                <w:i w:val="0"/>
                <w:color w:val="67606B"/>
                <w:sz w:val="17"/>
              </w:rPr>
              <w:t>Seasonal fruit assortment with aromatic poaching syrup; approximately one composed serving per guest.</w:t>
            </w:r>
          </w:p>
        </w:tc>
        <w:tc>
          <w:tcPr>
            <w:tcW w:type="dxa" w:w="1440"/>
          </w:tcPr>
          <w:p>
            <w:pPr>
              <w:spacing w:after="0"/>
              <w:jc w:val="center"/>
            </w:pPr>
            <w:r>
              <w:rPr>
                <w:rFonts w:ascii="Aptos" w:hAnsi="Aptos"/>
                <w:b/>
                <w:i w:val="0"/>
                <w:color w:val="28232C"/>
                <w:sz w:val="20"/>
              </w:rPr>
              <w:t>$255</w:t>
            </w:r>
          </w:p>
        </w:tc>
        <w:tc>
          <w:tcPr>
            <w:tcW w:type="dxa" w:w="1440"/>
          </w:tcPr>
          <w:p>
            <w:pPr>
              <w:spacing w:after="0"/>
              <w:jc w:val="center"/>
            </w:pPr>
            <w:r>
              <w:rPr>
                <w:rFonts w:ascii="Aptos" w:hAnsi="Aptos"/>
                <w:b/>
                <w:i w:val="0"/>
                <w:color w:val="28232C"/>
                <w:sz w:val="20"/>
              </w:rPr>
              <w:t>$400</w:t>
            </w:r>
          </w:p>
        </w:tc>
        <w:tc>
          <w:tcPr>
            <w:tcW w:type="dxa" w:w="1440"/>
          </w:tcPr>
          <w:p>
            <w:pPr>
              <w:spacing w:after="0"/>
              <w:jc w:val="center"/>
            </w:pPr>
            <w:r>
              <w:rPr>
                <w:rFonts w:ascii="Aptos" w:hAnsi="Aptos"/>
                <w:b/>
                <w:i w:val="0"/>
                <w:color w:val="28232C"/>
                <w:sz w:val="20"/>
              </w:rPr>
              <w:t>$750</w:t>
            </w:r>
          </w:p>
        </w:tc>
      </w:tr>
    </w:tbl>
    <w:p>
      <w:pPr>
        <w:spacing w:after="20"/>
      </w:pPr>
    </w:p>
    <w:p>
      <w:pPr>
        <w:pStyle w:val="Heading1"/>
      </w:pPr>
      <w:r>
        <w:t>Traditional Holiday Baking</w:t>
      </w:r>
    </w:p>
    <w:tbl>
      <w:tblPr>
        <w:tblW w:type="dxa" w:w="9360"/>
        <w:jc w:val="center"/>
        <w:tblLayout w:type="fixed"/>
        <w:tblLook w:firstColumn="1" w:firstRow="1" w:lastColumn="0" w:lastRow="0" w:noHBand="0" w:noVBand="1" w:val="04A0"/>
        <w:tblInd w:w="120" w:type="dxa"/>
        <w:tblBorders>
          <w:top w:val="single" w:sz="6" w:color="D8CBE3"/>
          <w:left w:val="single" w:sz="6" w:color="D8CBE3"/>
          <w:bottom w:val="single" w:sz="6" w:color="D8CBE3"/>
          <w:right w:val="single" w:sz="6" w:color="D8CBE3"/>
          <w:insideH w:val="single" w:sz="6" w:color="D8CBE3"/>
          <w:insideV w:val="single" w:sz="6" w:color="D8CBE3"/>
        </w:tblBorders>
      </w:tblPr>
      <w:tblGrid>
        <w:gridCol w:w="5040"/>
        <w:gridCol w:w="1440"/>
        <w:gridCol w:w="1440"/>
        <w:gridCol w:w="1440"/>
      </w:tblGrid>
      <w:tr>
        <w:trPr>
          <w:tblHeader w:val="true"/>
          <w:cantSplit/>
        </w:trPr>
        <w:tc>
          <w:tcPr>
            <w:tcW w:type="dxa" w:w="5040"/>
            <w:tcMar>
              <w:top w:w="90" w:type="dxa"/>
              <w:start w:w="120" w:type="dxa"/>
              <w:bottom w:w="90" w:type="dxa"/>
              <w:end w:w="120" w:type="dxa"/>
            </w:tcMar>
            <w:vAlign w:val="center"/>
            <w:shd w:fill="5B2A86"/>
          </w:tcPr>
          <w:p>
            <w:pPr>
              <w:spacing w:after="0"/>
              <w:jc w:val="left"/>
            </w:pPr>
            <w:r>
              <w:rPr>
                <w:rFonts w:ascii="Aptos" w:hAnsi="Aptos"/>
                <w:b/>
                <w:i w:val="0"/>
                <w:color w:val="FFFFFF"/>
                <w:sz w:val="19"/>
              </w:rPr>
              <w:t>Offering</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15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25 guests</w:t>
            </w:r>
          </w:p>
        </w:tc>
        <w:tc>
          <w:tcPr>
            <w:tcW w:type="dxa" w:w="1440"/>
            <w:tcMar>
              <w:top w:w="90" w:type="dxa"/>
              <w:start w:w="120" w:type="dxa"/>
              <w:bottom w:w="90" w:type="dxa"/>
              <w:end w:w="120" w:type="dxa"/>
            </w:tcMar>
            <w:vAlign w:val="center"/>
            <w:shd w:fill="5B2A86"/>
          </w:tcPr>
          <w:p>
            <w:pPr>
              <w:spacing w:after="0"/>
              <w:jc w:val="center"/>
            </w:pPr>
            <w:r>
              <w:rPr>
                <w:rFonts w:ascii="Aptos" w:hAnsi="Aptos"/>
                <w:b/>
                <w:i w:val="0"/>
                <w:color w:val="FFFFFF"/>
                <w:sz w:val="19"/>
              </w:rPr>
              <w:t>50 guests</w:t>
            </w:r>
          </w:p>
        </w:tc>
      </w:tr>
      <w:tr>
        <w:trPr>
          <w:cantSplit/>
        </w:trPr>
        <w:tc>
          <w:tcPr>
            <w:tcW w:type="dxa" w:w="5040"/>
          </w:tcPr>
          <w:p>
            <w:pPr>
              <w:spacing w:after="40"/>
            </w:pPr>
            <w:r>
              <w:rPr>
                <w:rFonts w:ascii="Aptos" w:hAnsi="Aptos"/>
                <w:b/>
                <w:i w:val="0"/>
                <w:color w:val="351452"/>
                <w:sz w:val="20"/>
              </w:rPr>
              <w:t>Round Challah Assortment</w:t>
            </w:r>
          </w:p>
          <w:p>
            <w:pPr>
              <w:spacing w:after="0" w:line="252" w:lineRule="auto"/>
            </w:pPr>
            <w:r>
              <w:rPr>
                <w:rFonts w:ascii="Aptos" w:hAnsi="Aptos"/>
                <w:b w:val="0"/>
                <w:i w:val="0"/>
                <w:color w:val="67606B"/>
                <w:sz w:val="17"/>
              </w:rPr>
              <w:t>Traditional, raisin, apple-honey, seeded, or rotating seasonal varieties. Includes 3 rounds / 5 rounds / 10 rounds.</w:t>
            </w:r>
          </w:p>
        </w:tc>
        <w:tc>
          <w:tcPr>
            <w:tcW w:type="dxa" w:w="1440"/>
          </w:tcPr>
          <w:p>
            <w:pPr>
              <w:spacing w:after="0"/>
              <w:jc w:val="center"/>
            </w:pPr>
            <w:r>
              <w:rPr>
                <w:rFonts w:ascii="Aptos" w:hAnsi="Aptos"/>
                <w:b/>
                <w:i w:val="0"/>
                <w:color w:val="28232C"/>
                <w:sz w:val="20"/>
              </w:rPr>
              <w:t>$150</w:t>
            </w:r>
          </w:p>
        </w:tc>
        <w:tc>
          <w:tcPr>
            <w:tcW w:type="dxa" w:w="1440"/>
          </w:tcPr>
          <w:p>
            <w:pPr>
              <w:spacing w:after="0"/>
              <w:jc w:val="center"/>
            </w:pPr>
            <w:r>
              <w:rPr>
                <w:rFonts w:ascii="Aptos" w:hAnsi="Aptos"/>
                <w:b/>
                <w:i w:val="0"/>
                <w:color w:val="28232C"/>
                <w:sz w:val="20"/>
              </w:rPr>
              <w:t>$250</w:t>
            </w:r>
          </w:p>
        </w:tc>
        <w:tc>
          <w:tcPr>
            <w:tcW w:type="dxa" w:w="1440"/>
          </w:tcPr>
          <w:p>
            <w:pPr>
              <w:spacing w:after="0"/>
              <w:jc w:val="center"/>
            </w:pPr>
            <w:r>
              <w:rPr>
                <w:rFonts w:ascii="Aptos" w:hAnsi="Aptos"/>
                <w:b/>
                <w:i w:val="0"/>
                <w:color w:val="28232C"/>
                <w:sz w:val="20"/>
              </w:rPr>
              <w:t>$475</w:t>
            </w:r>
          </w:p>
        </w:tc>
      </w:tr>
      <w:tr>
        <w:trPr>
          <w:cantSplit/>
        </w:trPr>
        <w:tc>
          <w:tcPr>
            <w:tcW w:type="dxa" w:w="5040"/>
            <w:shd w:fill="F8F4FB"/>
          </w:tcPr>
          <w:p>
            <w:pPr>
              <w:spacing w:after="40"/>
            </w:pPr>
            <w:r>
              <w:rPr>
                <w:rFonts w:ascii="Aptos" w:hAnsi="Aptos"/>
                <w:b/>
                <w:i w:val="0"/>
                <w:color w:val="351452"/>
                <w:sz w:val="20"/>
              </w:rPr>
              <w:t>Babka Assortment</w:t>
            </w:r>
          </w:p>
          <w:p>
            <w:pPr>
              <w:spacing w:after="0" w:line="252" w:lineRule="auto"/>
            </w:pPr>
            <w:r>
              <w:rPr>
                <w:rFonts w:ascii="Aptos" w:hAnsi="Aptos"/>
                <w:b w:val="0"/>
                <w:i w:val="0"/>
                <w:color w:val="67606B"/>
                <w:sz w:val="17"/>
              </w:rPr>
              <w:t>Chocolate, cinnamon, apple-honey, or rotating seasonal flavors. Includes 3 loaves / 5 loaves / 10 loaves.</w:t>
            </w:r>
          </w:p>
        </w:tc>
        <w:tc>
          <w:tcPr>
            <w:tcW w:type="dxa" w:w="1440"/>
            <w:shd w:fill="F8F4FB"/>
          </w:tcPr>
          <w:p>
            <w:pPr>
              <w:spacing w:after="0"/>
              <w:jc w:val="center"/>
            </w:pPr>
            <w:r>
              <w:rPr>
                <w:rFonts w:ascii="Aptos" w:hAnsi="Aptos"/>
                <w:b/>
                <w:i w:val="0"/>
                <w:color w:val="28232C"/>
                <w:sz w:val="20"/>
              </w:rPr>
              <w:t>$195</w:t>
            </w:r>
          </w:p>
        </w:tc>
        <w:tc>
          <w:tcPr>
            <w:tcW w:type="dxa" w:w="1440"/>
            <w:shd w:fill="F8F4FB"/>
          </w:tcPr>
          <w:p>
            <w:pPr>
              <w:spacing w:after="0"/>
              <w:jc w:val="center"/>
            </w:pPr>
            <w:r>
              <w:rPr>
                <w:rFonts w:ascii="Aptos" w:hAnsi="Aptos"/>
                <w:b/>
                <w:i w:val="0"/>
                <w:color w:val="28232C"/>
                <w:sz w:val="20"/>
              </w:rPr>
              <w:t>$325</w:t>
            </w:r>
          </w:p>
        </w:tc>
        <w:tc>
          <w:tcPr>
            <w:tcW w:type="dxa" w:w="1440"/>
            <w:shd w:fill="F8F4FB"/>
          </w:tcPr>
          <w:p>
            <w:pPr>
              <w:spacing w:after="0"/>
              <w:jc w:val="center"/>
            </w:pPr>
            <w:r>
              <w:rPr>
                <w:rFonts w:ascii="Aptos" w:hAnsi="Aptos"/>
                <w:b/>
                <w:i w:val="0"/>
                <w:color w:val="28232C"/>
                <w:sz w:val="20"/>
              </w:rPr>
              <w:t>$625</w:t>
            </w:r>
          </w:p>
        </w:tc>
      </w:tr>
      <w:tr>
        <w:trPr>
          <w:cantSplit/>
        </w:trPr>
        <w:tc>
          <w:tcPr>
            <w:tcW w:type="dxa" w:w="5040"/>
          </w:tcPr>
          <w:p>
            <w:pPr>
              <w:spacing w:after="40"/>
            </w:pPr>
            <w:r>
              <w:rPr>
                <w:rFonts w:ascii="Aptos" w:hAnsi="Aptos"/>
                <w:b/>
                <w:i w:val="0"/>
                <w:color w:val="351452"/>
                <w:sz w:val="20"/>
              </w:rPr>
              <w:t>Rugelach Assortment</w:t>
            </w:r>
          </w:p>
          <w:p>
            <w:pPr>
              <w:spacing w:after="0" w:line="252" w:lineRule="auto"/>
            </w:pPr>
            <w:r>
              <w:rPr>
                <w:rFonts w:ascii="Aptos" w:hAnsi="Aptos"/>
                <w:b w:val="0"/>
                <w:i w:val="0"/>
                <w:color w:val="67606B"/>
                <w:sz w:val="17"/>
              </w:rPr>
              <w:t>Chocolate, cinnamon-walnut, apricot, raspberry, or rotating flavors. Includes 36 / 60 / 120 pieces.</w:t>
            </w:r>
          </w:p>
        </w:tc>
        <w:tc>
          <w:tcPr>
            <w:tcW w:type="dxa" w:w="1440"/>
          </w:tcPr>
          <w:p>
            <w:pPr>
              <w:spacing w:after="0"/>
              <w:jc w:val="center"/>
            </w:pPr>
            <w:r>
              <w:rPr>
                <w:rFonts w:ascii="Aptos" w:hAnsi="Aptos"/>
                <w:b/>
                <w:i w:val="0"/>
                <w:color w:val="28232C"/>
                <w:sz w:val="20"/>
              </w:rPr>
              <w:t>$180</w:t>
            </w:r>
          </w:p>
        </w:tc>
        <w:tc>
          <w:tcPr>
            <w:tcW w:type="dxa" w:w="1440"/>
          </w:tcPr>
          <w:p>
            <w:pPr>
              <w:spacing w:after="0"/>
              <w:jc w:val="center"/>
            </w:pPr>
            <w:r>
              <w:rPr>
                <w:rFonts w:ascii="Aptos" w:hAnsi="Aptos"/>
                <w:b/>
                <w:i w:val="0"/>
                <w:color w:val="28232C"/>
                <w:sz w:val="20"/>
              </w:rPr>
              <w:t>$285</w:t>
            </w:r>
          </w:p>
        </w:tc>
        <w:tc>
          <w:tcPr>
            <w:tcW w:type="dxa" w:w="1440"/>
          </w:tcPr>
          <w:p>
            <w:pPr>
              <w:spacing w:after="0"/>
              <w:jc w:val="center"/>
            </w:pPr>
            <w:r>
              <w:rPr>
                <w:rFonts w:ascii="Aptos" w:hAnsi="Aptos"/>
                <w:b/>
                <w:i w:val="0"/>
                <w:color w:val="28232C"/>
                <w:sz w:val="20"/>
              </w:rPr>
              <w:t>$550</w:t>
            </w:r>
          </w:p>
        </w:tc>
      </w:tr>
      <w:tr>
        <w:trPr>
          <w:cantSplit/>
        </w:trPr>
        <w:tc>
          <w:tcPr>
            <w:tcW w:type="dxa" w:w="5040"/>
            <w:shd w:fill="F8F4FB"/>
          </w:tcPr>
          <w:p>
            <w:pPr>
              <w:spacing w:after="40"/>
            </w:pPr>
            <w:r>
              <w:rPr>
                <w:rFonts w:ascii="Aptos" w:hAnsi="Aptos"/>
                <w:b/>
                <w:i w:val="0"/>
                <w:color w:val="351452"/>
                <w:sz w:val="20"/>
              </w:rPr>
              <w:t>Babka &amp; Rugelach Dessert Table</w:t>
            </w:r>
          </w:p>
          <w:p>
            <w:pPr>
              <w:spacing w:after="0" w:line="252" w:lineRule="auto"/>
            </w:pPr>
            <w:r>
              <w:rPr>
                <w:rFonts w:ascii="Aptos" w:hAnsi="Aptos"/>
                <w:b w:val="0"/>
                <w:i w:val="0"/>
                <w:color w:val="67606B"/>
                <w:sz w:val="17"/>
              </w:rPr>
              <w:t>A generous assortment of sliced babka and rugelach sized for the guest count, arranged and ready to serve.</w:t>
            </w:r>
          </w:p>
        </w:tc>
        <w:tc>
          <w:tcPr>
            <w:tcW w:type="dxa" w:w="1440"/>
            <w:shd w:fill="F8F4FB"/>
          </w:tcPr>
          <w:p>
            <w:pPr>
              <w:spacing w:after="0"/>
              <w:jc w:val="center"/>
            </w:pPr>
            <w:r>
              <w:rPr>
                <w:rFonts w:ascii="Aptos" w:hAnsi="Aptos"/>
                <w:b/>
                <w:i w:val="0"/>
                <w:color w:val="28232C"/>
                <w:sz w:val="20"/>
              </w:rPr>
              <w:t>$375</w:t>
            </w:r>
          </w:p>
        </w:tc>
        <w:tc>
          <w:tcPr>
            <w:tcW w:type="dxa" w:w="1440"/>
            <w:shd w:fill="F8F4FB"/>
          </w:tcPr>
          <w:p>
            <w:pPr>
              <w:spacing w:after="0"/>
              <w:jc w:val="center"/>
            </w:pPr>
            <w:r>
              <w:rPr>
                <w:rFonts w:ascii="Aptos" w:hAnsi="Aptos"/>
                <w:b/>
                <w:i w:val="0"/>
                <w:color w:val="28232C"/>
                <w:sz w:val="20"/>
              </w:rPr>
              <w:t>$600</w:t>
            </w:r>
          </w:p>
        </w:tc>
        <w:tc>
          <w:tcPr>
            <w:tcW w:type="dxa" w:w="1440"/>
            <w:shd w:fill="F8F4FB"/>
          </w:tcPr>
          <w:p>
            <w:pPr>
              <w:spacing w:after="0"/>
              <w:jc w:val="center"/>
            </w:pPr>
            <w:r>
              <w:rPr>
                <w:rFonts w:ascii="Aptos" w:hAnsi="Aptos"/>
                <w:b/>
                <w:i w:val="0"/>
                <w:color w:val="28232C"/>
                <w:sz w:val="20"/>
              </w:rPr>
              <w:t>$1,150</w:t>
            </w:r>
          </w:p>
        </w:tc>
      </w:tr>
    </w:tbl>
    <w:p>
      <w:pPr>
        <w:spacing w:after="20"/>
      </w:pPr>
    </w:p>
    <w:p>
      <w:pPr>
        <w:pStyle w:val="Heading1"/>
      </w:pPr>
      <w:r>
        <w:t>Private Cooking Classes</w:t>
      </w:r>
    </w:p>
    <w:p>
      <w:pPr>
        <w:spacing w:after="60"/>
      </w:pPr>
      <w:r>
        <w:t>Hands-on High Holiday cooking and baking classes are available for families, friend groups, congregations, and community organizations. Possible themes include round challah, babka, rugelach, holiday entrées, seasonal side dishes, and building a complete celebration menu.</w:t>
      </w:r>
    </w:p>
    <w:p>
      <w:pPr>
        <w:pStyle w:val="MenuNote"/>
      </w:pPr>
      <w:r>
        <w:rPr>
          <w:rFonts w:ascii="Aptos" w:hAnsi="Aptos"/>
          <w:b w:val="0"/>
          <w:i/>
          <w:color w:val="67606B"/>
          <w:sz w:val="18"/>
        </w:rPr>
        <w:t>Classes are custom quoted according to group size, location, ingredients, equipment, and instructional support.</w:t>
      </w:r>
    </w:p>
    <w:tbl>
      <w:tblPr>
        <w:tblW w:type="dxa" w:w="9360"/>
        <w:jc w:val="center"/>
        <w:tblLayout w:type="fixed"/>
        <w:tblLook w:firstColumn="1" w:firstRow="1" w:lastColumn="0" w:lastRow="0" w:noHBand="0" w:noVBand="1" w:val="04A0"/>
        <w:tblInd w:w="120" w:type="dxa"/>
        <w:tblBorders>
          <w:top w:val="single" w:sz="7" w:color="CDB7DC"/>
          <w:left w:val="single" w:sz="7" w:color="CDB7DC"/>
          <w:bottom w:val="single" w:sz="7" w:color="CDB7DC"/>
          <w:right w:val="single" w:sz="7" w:color="CDB7DC"/>
          <w:insideH w:val="single" w:sz="7" w:color="CDB7DC"/>
          <w:insideV w:val="single" w:sz="7" w:color="CDB7DC"/>
        </w:tblBorders>
      </w:tblPr>
      <w:tblGrid>
        <w:gridCol w:w="9360"/>
      </w:tblGrid>
      <w:tr>
        <w:trPr>
          <w:tblHeader w:val="true"/>
          <w:cantSplit/>
        </w:trPr>
        <w:tc>
          <w:tcPr>
            <w:tcW w:type="dxa" w:w="9360"/>
            <w:tcMar>
              <w:top w:w="130" w:type="dxa"/>
              <w:start w:w="180" w:type="dxa"/>
              <w:bottom w:w="130" w:type="dxa"/>
              <w:end w:w="180" w:type="dxa"/>
            </w:tcMar>
            <w:vAlign w:val="center"/>
            <w:shd w:fill="EEE5F5"/>
          </w:tcPr>
          <w:p>
            <w:pPr>
              <w:spacing w:after="60"/>
            </w:pPr>
            <w:r>
              <w:rPr>
                <w:rFonts w:ascii="Aptos" w:hAnsi="Aptos"/>
                <w:b/>
                <w:i w:val="0"/>
                <w:color w:val="351452"/>
                <w:sz w:val="22"/>
              </w:rPr>
              <w:t>Complimentary consultation</w:t>
            </w:r>
          </w:p>
          <w:p>
            <w:pPr>
              <w:spacing w:after="0" w:line="259" w:lineRule="auto"/>
            </w:pPr>
            <w:r>
              <w:rPr>
                <w:rFonts w:ascii="Aptos" w:hAnsi="Aptos"/>
                <w:b w:val="0"/>
                <w:i w:val="0"/>
                <w:color w:val="28232C"/>
                <w:sz w:val="18"/>
              </w:rPr>
              <w:t>Every family celebration or special event begins with one complimentary 30-minute consultation. We will discuss your guest count, menu priorities, dietary needs, service style, venue, and budget. Additional menu development, production planning, vendor coordination, or event management is billed at $100 per hour unless included in a written event proposal.</w:t>
            </w:r>
          </w:p>
        </w:tc>
      </w:tr>
    </w:tbl>
    <w:p>
      <w:pPr>
        <w:pStyle w:val="Heading1"/>
      </w:pPr>
      <w:r>
        <w:t>Ordering &amp; Event Pricing</w:t>
      </w:r>
    </w:p>
    <w:tbl>
      <w:tblPr>
        <w:tblW w:type="dxa" w:w="9360"/>
        <w:jc w:val="center"/>
        <w:tblLayout w:type="fixed"/>
        <w:tblLook w:firstColumn="1" w:firstRow="1" w:lastColumn="0" w:lastRow="0" w:noHBand="0" w:noVBand="1" w:val="04A0"/>
        <w:tblInd w:w="120" w:type="dxa"/>
        <w:tblBorders>
          <w:top w:val="single" w:sz="6" w:color="D8CBE3"/>
          <w:left w:val="single" w:sz="6" w:color="D8CBE3"/>
          <w:bottom w:val="single" w:sz="6" w:color="D8CBE3"/>
          <w:right w:val="single" w:sz="6" w:color="D8CBE3"/>
          <w:insideH w:val="single" w:sz="6" w:color="D8CBE3"/>
          <w:insideV w:val="single" w:sz="6" w:color="D8CBE3"/>
        </w:tblBorders>
      </w:tblPr>
      <w:tblGrid>
        <w:gridCol w:w="2350"/>
        <w:gridCol w:w="7010"/>
      </w:tblGrid>
      <w:tr>
        <w:trPr>
          <w:tblHeader w:val="true"/>
          <w:cantSplit/>
        </w:trPr>
        <w:tc>
          <w:tcPr>
            <w:tcW w:type="dxa" w:w="2350"/>
            <w:shd w:fill="EEE5F5"/>
          </w:tcPr>
          <w:p>
            <w:pPr>
              <w:spacing w:after="0"/>
            </w:pPr>
            <w:r>
              <w:rPr>
                <w:rFonts w:ascii="Aptos" w:hAnsi="Aptos"/>
                <w:b/>
                <w:i w:val="0"/>
                <w:color w:val="351452"/>
                <w:sz w:val="19"/>
              </w:rPr>
              <w:t>Listed menu prices</w:t>
            </w:r>
          </w:p>
        </w:tc>
        <w:tc>
          <w:tcPr>
            <w:tcW w:type="dxa" w:w="7010"/>
            <w:shd w:fill="FFFFFF"/>
          </w:tcPr>
          <w:p>
            <w:pPr>
              <w:spacing w:after="0"/>
            </w:pPr>
            <w:r>
              <w:rPr>
                <w:rFonts w:ascii="Aptos" w:hAnsi="Aptos"/>
                <w:b w:val="0"/>
                <w:i w:val="0"/>
                <w:color w:val="28232C"/>
                <w:sz w:val="18"/>
              </w:rPr>
              <w:t>Starting prices for food production and standard packaging; final pricing is confirmed in writing.</w:t>
            </w:r>
          </w:p>
        </w:tc>
      </w:tr>
      <w:tr>
        <w:trPr>
          <w:cantSplit/>
        </w:trPr>
        <w:tc>
          <w:tcPr>
            <w:tcW w:type="dxa" w:w="2350"/>
            <w:shd w:fill="EEE5F5"/>
          </w:tcPr>
          <w:p>
            <w:pPr>
              <w:spacing w:after="0"/>
            </w:pPr>
            <w:r>
              <w:rPr>
                <w:rFonts w:ascii="Aptos" w:hAnsi="Aptos"/>
                <w:b/>
                <w:i w:val="0"/>
                <w:color w:val="351452"/>
                <w:sz w:val="19"/>
              </w:rPr>
              <w:t>Delivery or pickup</w:t>
            </w:r>
          </w:p>
        </w:tc>
        <w:tc>
          <w:tcPr>
            <w:tcW w:type="dxa" w:w="7010"/>
            <w:shd w:fill="F8F4FB"/>
          </w:tcPr>
          <w:p>
            <w:pPr>
              <w:spacing w:after="0"/>
            </w:pPr>
            <w:r>
              <w:rPr>
                <w:rFonts w:ascii="Aptos" w:hAnsi="Aptos"/>
                <w:b w:val="0"/>
                <w:i w:val="0"/>
                <w:color w:val="28232C"/>
                <w:sz w:val="18"/>
              </w:rPr>
              <w:t>Quoted by location, timing, order size, and handling requirements.</w:t>
            </w:r>
          </w:p>
        </w:tc>
      </w:tr>
      <w:tr>
        <w:trPr>
          <w:cantSplit/>
        </w:trPr>
        <w:tc>
          <w:tcPr>
            <w:tcW w:type="dxa" w:w="2350"/>
            <w:shd w:fill="EEE5F5"/>
          </w:tcPr>
          <w:p>
            <w:pPr>
              <w:spacing w:after="0"/>
            </w:pPr>
            <w:r>
              <w:rPr>
                <w:rFonts w:ascii="Aptos" w:hAnsi="Aptos"/>
                <w:b/>
                <w:i w:val="0"/>
                <w:color w:val="351452"/>
                <w:sz w:val="19"/>
              </w:rPr>
              <w:t>Full-service events</w:t>
            </w:r>
          </w:p>
        </w:tc>
        <w:tc>
          <w:tcPr>
            <w:tcW w:type="dxa" w:w="7010"/>
            <w:shd w:fill="FFFFFF"/>
          </w:tcPr>
          <w:p>
            <w:pPr>
              <w:spacing w:after="0"/>
            </w:pPr>
            <w:r>
              <w:rPr>
                <w:rFonts w:ascii="Aptos" w:hAnsi="Aptos"/>
                <w:b w:val="0"/>
                <w:i w:val="0"/>
                <w:color w:val="28232C"/>
                <w:sz w:val="18"/>
              </w:rPr>
              <w:t>Commercial kitchen rental, staffing, transportation, rentals, equipment, setup, service, cleanup, permits, and venue-specific requirements are quoted separately.</w:t>
            </w:r>
          </w:p>
        </w:tc>
      </w:tr>
      <w:tr>
        <w:trPr>
          <w:cantSplit/>
        </w:trPr>
        <w:tc>
          <w:tcPr>
            <w:tcW w:type="dxa" w:w="2350"/>
            <w:shd w:fill="EEE5F5"/>
          </w:tcPr>
          <w:p>
            <w:pPr>
              <w:spacing w:after="0"/>
            </w:pPr>
            <w:r>
              <w:rPr>
                <w:rFonts w:ascii="Aptos" w:hAnsi="Aptos"/>
                <w:b/>
                <w:i w:val="0"/>
                <w:color w:val="351452"/>
                <w:sz w:val="19"/>
              </w:rPr>
              <w:t>Outside costs</w:t>
            </w:r>
          </w:p>
        </w:tc>
        <w:tc>
          <w:tcPr>
            <w:tcW w:type="dxa" w:w="7010"/>
            <w:shd w:fill="F8F4FB"/>
          </w:tcPr>
          <w:p>
            <w:pPr>
              <w:spacing w:after="0"/>
            </w:pPr>
            <w:r>
              <w:rPr>
                <w:rFonts w:ascii="Aptos" w:hAnsi="Aptos"/>
                <w:b w:val="0"/>
                <w:i w:val="0"/>
                <w:color w:val="28232C"/>
                <w:sz w:val="18"/>
              </w:rPr>
              <w:t>Major rentals, specialty equipment, permits, and unusually costly ingredients may require advance payment in addition to the catering deposit.</w:t>
            </w:r>
          </w:p>
        </w:tc>
      </w:tr>
      <w:tr>
        <w:trPr>
          <w:cantSplit/>
        </w:trPr>
        <w:tc>
          <w:tcPr>
            <w:tcW w:type="dxa" w:w="2350"/>
            <w:shd w:fill="EEE5F5"/>
          </w:tcPr>
          <w:p>
            <w:pPr>
              <w:spacing w:after="0"/>
            </w:pPr>
            <w:r>
              <w:rPr>
                <w:rFonts w:ascii="Aptos" w:hAnsi="Aptos"/>
                <w:b/>
                <w:i w:val="0"/>
                <w:color w:val="351452"/>
                <w:sz w:val="19"/>
              </w:rPr>
              <w:t>Payment schedule</w:t>
            </w:r>
          </w:p>
        </w:tc>
        <w:tc>
          <w:tcPr>
            <w:tcW w:type="dxa" w:w="7010"/>
            <w:shd w:fill="FFFFFF"/>
          </w:tcPr>
          <w:p>
            <w:pPr>
              <w:spacing w:after="0"/>
            </w:pPr>
            <w:r>
              <w:rPr>
                <w:rFonts w:ascii="Aptos" w:hAnsi="Aptos"/>
                <w:b w:val="0"/>
                <w:i w:val="0"/>
                <w:color w:val="28232C"/>
                <w:sz w:val="18"/>
              </w:rPr>
              <w:t>50% at booking, 25% one week before the event, and the remaining 25% due on the event day or immediately afterward.</w:t>
            </w:r>
          </w:p>
        </w:tc>
      </w:tr>
      <w:tr>
        <w:trPr>
          <w:cantSplit/>
        </w:trPr>
        <w:tc>
          <w:tcPr>
            <w:tcW w:type="dxa" w:w="2350"/>
            <w:shd w:fill="EEE5F5"/>
          </w:tcPr>
          <w:p>
            <w:pPr>
              <w:spacing w:after="0"/>
            </w:pPr>
            <w:r>
              <w:rPr>
                <w:rFonts w:ascii="Aptos" w:hAnsi="Aptos"/>
                <w:b/>
                <w:i w:val="0"/>
                <w:color w:val="351452"/>
                <w:sz w:val="19"/>
              </w:rPr>
              <w:t>Holiday availability</w:t>
            </w:r>
          </w:p>
        </w:tc>
        <w:tc>
          <w:tcPr>
            <w:tcW w:type="dxa" w:w="7010"/>
            <w:shd w:fill="F8F4FB"/>
          </w:tcPr>
          <w:p>
            <w:pPr>
              <w:spacing w:after="0"/>
            </w:pPr>
            <w:r>
              <w:rPr>
                <w:rFonts w:ascii="Aptos" w:hAnsi="Aptos"/>
                <w:b w:val="0"/>
                <w:i w:val="0"/>
                <w:color w:val="28232C"/>
                <w:sz w:val="18"/>
              </w:rPr>
              <w:t>Dates are limited. Early booking is strongly encouraged; rush orders and substantial changes may carry additional charges.</w:t>
            </w:r>
          </w:p>
        </w:tc>
      </w:tr>
    </w:tbl>
    <w:p>
      <w:pPr>
        <w:spacing w:before="240" w:after="40"/>
        <w:jc w:val="center"/>
      </w:pPr>
      <w:r>
        <w:rPr>
          <w:rFonts w:ascii="Aptos" w:hAnsi="Aptos"/>
          <w:b/>
          <w:i w:val="0"/>
          <w:color w:val="5B2A86"/>
          <w:sz w:val="24"/>
        </w:rPr>
        <w:t>THE PURPLE CHEF</w:t>
      </w:r>
    </w:p>
    <w:p>
      <w:pPr>
        <w:spacing w:after="0"/>
        <w:jc w:val="center"/>
      </w:pPr>
      <w:r>
        <w:rPr>
          <w:rFonts w:ascii="Aptos" w:hAnsi="Aptos"/>
          <w:b w:val="0"/>
          <w:i/>
          <w:color w:val="67606B"/>
          <w:sz w:val="19"/>
        </w:rPr>
        <w:t>Building community, preserving traditions, and bringing people together through food.</w:t>
      </w:r>
    </w:p>
    <w:sectPr w:rsidR="00FC693F" w:rsidRPr="0006063C" w:rsidSect="00034616">
      <w:headerReference w:type="default" r:id="rId9"/>
      <w:footerReference w:type="default" r:id="rId10"/>
      <w:pgSz w:w="12240" w:h="15840"/>
      <w:pgMar w:top="1037" w:right="1037" w:bottom="1037"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7606B"/>
        <w:sz w:val="16"/>
      </w:rPr>
      <w:t>Traditional home fare with a modern twist  •  Oakland &amp; the East Bay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B2A86"/>
        <w:sz w:val="17"/>
      </w:rPr>
      <w:t>THE PURPLE CHEF  |  HIGH HOLIDAY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28232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5B2A86"/>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5B2A8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nuNote">
    <w:name w:val="Menu Note"/>
    <w:pPr>
      <w:spacing w:after="100"/>
    </w:pPr>
    <w:rPr>
      <w:rFonts w:ascii="Aptos" w:hAnsi="Aptos"/>
      <w:i/>
      <w:color w:val="67606B"/>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Purple Chef High Holiday Offerings 2026</dc:title>
  <dc:subject>High Holiday catering price list</dc:subject>
  <dc:creator>The Purple Chef</dc:creator>
  <cp:keywords>High Holiday, Rosh Hashanah, catering, Oakland, East Bay</cp:keywords>
  <dc:description>generated by python-docx</dc:description>
  <cp:lastModifiedBy/>
  <cp:revision>1</cp:revision>
  <dcterms:created xsi:type="dcterms:W3CDTF">2013-12-23T23:15:00Z</dcterms:created>
  <dcterms:modified xsi:type="dcterms:W3CDTF">2013-12-23T23:15:00Z</dcterms:modified>
  <cp:category/>
</cp:coreProperties>
</file>